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8E5" w:rsidRDefault="00204C33" w:rsidP="00BC2593">
      <w:pPr>
        <w:spacing w:before="60" w:after="120" w:line="240" w:lineRule="auto"/>
        <w:jc w:val="both"/>
        <w:rPr>
          <w:rFonts w:ascii="Arial" w:hAnsi="Arial" w:cs="Arial"/>
          <w:b/>
          <w:sz w:val="16"/>
          <w:szCs w:val="16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1" o:spid="_x0000_s1026" type="#_x0000_t75" style="position:absolute;left:0;text-align:left;margin-left:-2.45pt;margin-top:-14.4pt;width:117pt;height:37.65pt;z-index:251657728;visibility:visible">
            <v:imagedata r:id="rId6" o:title=""/>
            <w10:wrap type="topAndBottom"/>
          </v:shape>
        </w:pict>
      </w:r>
      <w:r w:rsidR="004E5D1B" w:rsidRPr="004E5D1B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sexta-feira, 9 de julho de 2021 </w:t>
      </w:r>
      <w:r w:rsidR="004E5D1B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E5D1B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BC259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Diário Ofi</w:t>
      </w:r>
      <w:r w:rsidR="004E5D1B" w:rsidRPr="004E5D1B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4E5D1B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E5D1B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E5D1B" w:rsidRPr="004E5D1B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(132)</w:t>
      </w:r>
      <w:r w:rsidR="004E5D1B">
        <w:rPr>
          <w:rFonts w:ascii="Arial" w:hAnsi="Arial" w:cs="Arial"/>
          <w:b/>
          <w:noProof/>
          <w:sz w:val="16"/>
          <w:szCs w:val="16"/>
          <w:lang w:eastAsia="pt-BR"/>
        </w:rPr>
        <w:t xml:space="preserve"> – 11</w:t>
      </w:r>
    </w:p>
    <w:p w:rsidR="00F744E9" w:rsidRPr="00F744E9" w:rsidRDefault="00F744E9" w:rsidP="00F744E9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F744E9">
        <w:rPr>
          <w:rFonts w:ascii="Arial" w:hAnsi="Arial" w:cs="Arial"/>
          <w:sz w:val="28"/>
          <w:szCs w:val="28"/>
        </w:rPr>
        <w:t>Administração Penitenciária</w:t>
      </w:r>
    </w:p>
    <w:p w:rsidR="00F744E9" w:rsidRPr="00F744E9" w:rsidRDefault="00F744E9" w:rsidP="00F744E9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744E9">
        <w:rPr>
          <w:rFonts w:ascii="Arial" w:hAnsi="Arial" w:cs="Arial"/>
          <w:sz w:val="18"/>
          <w:szCs w:val="18"/>
        </w:rPr>
        <w:t>GABINETE DO SECRETÁRIO</w:t>
      </w:r>
    </w:p>
    <w:p w:rsidR="00F744E9" w:rsidRPr="00F744E9" w:rsidRDefault="00F744E9" w:rsidP="00BC2593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8"/>
          <w:szCs w:val="28"/>
        </w:rPr>
      </w:pPr>
      <w:r w:rsidRPr="00F744E9">
        <w:rPr>
          <w:rFonts w:ascii="Arial" w:hAnsi="Arial" w:cs="Arial"/>
          <w:b/>
          <w:sz w:val="28"/>
          <w:szCs w:val="28"/>
        </w:rPr>
        <w:t>Resolução SAP-94, de 6-7-</w:t>
      </w:r>
      <w:proofErr w:type="gramStart"/>
      <w:r w:rsidRPr="00F744E9">
        <w:rPr>
          <w:rFonts w:ascii="Arial" w:hAnsi="Arial" w:cs="Arial"/>
          <w:b/>
          <w:sz w:val="28"/>
          <w:szCs w:val="28"/>
        </w:rPr>
        <w:t>2021</w:t>
      </w:r>
      <w:proofErr w:type="gramEnd"/>
    </w:p>
    <w:p w:rsidR="00F744E9" w:rsidRPr="00BC2593" w:rsidRDefault="00F744E9" w:rsidP="00BC2593">
      <w:pPr>
        <w:spacing w:before="40" w:after="120" w:line="310" w:lineRule="atLeast"/>
        <w:ind w:firstLine="425"/>
        <w:jc w:val="both"/>
        <w:rPr>
          <w:rFonts w:ascii="Arial" w:hAnsi="Arial" w:cs="Arial"/>
          <w:b/>
          <w:i/>
          <w:sz w:val="24"/>
          <w:szCs w:val="24"/>
        </w:rPr>
      </w:pPr>
      <w:r w:rsidRPr="00BC2593">
        <w:rPr>
          <w:rFonts w:ascii="Arial" w:hAnsi="Arial" w:cs="Arial"/>
          <w:b/>
          <w:i/>
          <w:sz w:val="24"/>
          <w:szCs w:val="24"/>
        </w:rPr>
        <w:t>Altera os artigos 77, 78 e respectivos parágrafos únicos do Regimento Interno Padrão de que trata a Resolução SAP 144, de 29-06-</w:t>
      </w:r>
      <w:proofErr w:type="gramStart"/>
      <w:r w:rsidRPr="00BC2593">
        <w:rPr>
          <w:rFonts w:ascii="Arial" w:hAnsi="Arial" w:cs="Arial"/>
          <w:b/>
          <w:i/>
          <w:sz w:val="24"/>
          <w:szCs w:val="24"/>
        </w:rPr>
        <w:t>2010</w:t>
      </w:r>
      <w:proofErr w:type="gramEnd"/>
    </w:p>
    <w:p w:rsidR="00F744E9" w:rsidRPr="00F744E9" w:rsidRDefault="00F744E9" w:rsidP="00F744E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744E9">
        <w:rPr>
          <w:rFonts w:ascii="Arial" w:hAnsi="Arial" w:cs="Arial"/>
        </w:rPr>
        <w:t xml:space="preserve">O </w:t>
      </w:r>
      <w:r w:rsidRPr="00BC2593">
        <w:rPr>
          <w:rFonts w:ascii="Arial" w:hAnsi="Arial" w:cs="Arial"/>
          <w:b/>
        </w:rPr>
        <w:t>Secretário da Administração Penitenciária</w:t>
      </w:r>
      <w:r w:rsidRPr="00F744E9">
        <w:rPr>
          <w:rFonts w:ascii="Arial" w:hAnsi="Arial" w:cs="Arial"/>
        </w:rPr>
        <w:t xml:space="preserve"> conforme alínea</w:t>
      </w:r>
      <w:r>
        <w:rPr>
          <w:rFonts w:ascii="Arial" w:hAnsi="Arial" w:cs="Arial"/>
        </w:rPr>
        <w:t xml:space="preserve"> </w:t>
      </w:r>
      <w:r w:rsidRPr="00F744E9">
        <w:rPr>
          <w:rFonts w:ascii="Arial" w:hAnsi="Arial" w:cs="Arial"/>
        </w:rPr>
        <w:t xml:space="preserve">"b" do inciso </w:t>
      </w:r>
      <w:proofErr w:type="gramStart"/>
      <w:r w:rsidRPr="00F744E9">
        <w:rPr>
          <w:rFonts w:ascii="Arial" w:hAnsi="Arial" w:cs="Arial"/>
        </w:rPr>
        <w:t>VI</w:t>
      </w:r>
      <w:proofErr w:type="gramEnd"/>
      <w:r w:rsidRPr="00F744E9">
        <w:rPr>
          <w:rFonts w:ascii="Arial" w:hAnsi="Arial" w:cs="Arial"/>
        </w:rPr>
        <w:t xml:space="preserve">, do artigo 48 do Decreto 46.623, de 21-03-2002 e considerando a </w:t>
      </w:r>
      <w:r w:rsidRPr="00981A6B">
        <w:rPr>
          <w:rFonts w:ascii="Arial" w:hAnsi="Arial" w:cs="Arial"/>
          <w:b/>
        </w:rPr>
        <w:t>manifestação propositiva apresentada pelo Ministério Público do Estado de São Paulo, por meio do Núcleo de Execuções Criminais do Centro de Apoio Operacional Criminal-CAOCRIM</w:t>
      </w:r>
      <w:r w:rsidRPr="00F744E9">
        <w:rPr>
          <w:rFonts w:ascii="Arial" w:hAnsi="Arial" w:cs="Arial"/>
        </w:rPr>
        <w:t xml:space="preserve"> contida nos autos do procedimento 13/2018</w:t>
      </w:r>
      <w:r>
        <w:rPr>
          <w:rFonts w:ascii="Arial" w:hAnsi="Arial" w:cs="Arial"/>
        </w:rPr>
        <w:t xml:space="preserve"> </w:t>
      </w:r>
      <w:r w:rsidRPr="00F744E9">
        <w:rPr>
          <w:rFonts w:ascii="Arial" w:hAnsi="Arial" w:cs="Arial"/>
        </w:rPr>
        <w:t xml:space="preserve">que </w:t>
      </w:r>
      <w:r w:rsidRPr="00981A6B">
        <w:rPr>
          <w:rFonts w:ascii="Arial" w:hAnsi="Arial" w:cs="Arial"/>
          <w:b/>
        </w:rPr>
        <w:t>visa adequar as regras dos artigos 77 e 78 e seus respectivos parágrafos únicos do Regimento Interno Padrão da Pasta aos termos da Lei 12.234/2010</w:t>
      </w:r>
      <w:r w:rsidRPr="00F744E9">
        <w:rPr>
          <w:rFonts w:ascii="Arial" w:hAnsi="Arial" w:cs="Arial"/>
        </w:rPr>
        <w:t xml:space="preserve"> </w:t>
      </w:r>
      <w:r w:rsidRPr="00F744E9">
        <w:rPr>
          <w:rFonts w:ascii="Arial" w:hAnsi="Arial" w:cs="Arial"/>
          <w:b/>
        </w:rPr>
        <w:t>resolve:</w:t>
      </w:r>
    </w:p>
    <w:p w:rsidR="00F744E9" w:rsidRPr="00F744E9" w:rsidRDefault="00F744E9" w:rsidP="00F744E9">
      <w:pPr>
        <w:spacing w:before="80" w:after="40" w:line="320" w:lineRule="atLeast"/>
        <w:ind w:firstLine="425"/>
        <w:jc w:val="both"/>
        <w:rPr>
          <w:rFonts w:ascii="Arial" w:hAnsi="Arial" w:cs="Arial"/>
        </w:rPr>
      </w:pPr>
      <w:r w:rsidRPr="00F744E9">
        <w:rPr>
          <w:rFonts w:ascii="Arial" w:hAnsi="Arial" w:cs="Arial"/>
          <w:b/>
        </w:rPr>
        <w:t>Artigo 1º</w:t>
      </w:r>
      <w:r w:rsidRPr="00F744E9">
        <w:rPr>
          <w:rFonts w:ascii="Arial" w:hAnsi="Arial" w:cs="Arial"/>
        </w:rPr>
        <w:t xml:space="preserve"> - </w:t>
      </w:r>
      <w:r w:rsidRPr="00BC2593">
        <w:rPr>
          <w:rFonts w:ascii="Arial" w:hAnsi="Arial" w:cs="Arial"/>
          <w:b/>
        </w:rPr>
        <w:t xml:space="preserve">alterar </w:t>
      </w:r>
      <w:r w:rsidRPr="00F744E9">
        <w:rPr>
          <w:rFonts w:ascii="Arial" w:hAnsi="Arial" w:cs="Arial"/>
          <w:b/>
        </w:rPr>
        <w:t>os artigos 77 e 78 e seus respectivos parágrafos únicos do Regimento Interno</w:t>
      </w:r>
      <w:r w:rsidRPr="00F744E9">
        <w:rPr>
          <w:rFonts w:ascii="Arial" w:hAnsi="Arial" w:cs="Arial"/>
        </w:rPr>
        <w:t xml:space="preserve"> </w:t>
      </w:r>
      <w:r w:rsidRPr="00F744E9">
        <w:rPr>
          <w:rFonts w:ascii="Arial" w:hAnsi="Arial" w:cs="Arial"/>
          <w:b/>
        </w:rPr>
        <w:t>Padrão que passam a vigorar com as seguintes redações;</w:t>
      </w:r>
    </w:p>
    <w:p w:rsidR="00F744E9" w:rsidRPr="00981A6B" w:rsidRDefault="00F744E9" w:rsidP="00F744E9">
      <w:pPr>
        <w:spacing w:before="60" w:after="40" w:line="320" w:lineRule="atLeast"/>
        <w:ind w:firstLine="425"/>
        <w:jc w:val="both"/>
        <w:rPr>
          <w:rFonts w:ascii="Arial" w:hAnsi="Arial" w:cs="Arial"/>
          <w:b/>
        </w:rPr>
      </w:pPr>
      <w:proofErr w:type="gramStart"/>
      <w:r w:rsidRPr="00F744E9">
        <w:rPr>
          <w:rFonts w:ascii="Arial" w:hAnsi="Arial" w:cs="Arial"/>
          <w:b/>
        </w:rPr>
        <w:t>"Artigo 77</w:t>
      </w:r>
      <w:r w:rsidRPr="00F744E9">
        <w:rPr>
          <w:rFonts w:ascii="Arial" w:hAnsi="Arial" w:cs="Arial"/>
        </w:rPr>
        <w:t>-</w:t>
      </w:r>
      <w:r w:rsidRPr="00981A6B">
        <w:rPr>
          <w:rFonts w:ascii="Arial" w:hAnsi="Arial" w:cs="Arial"/>
          <w:b/>
        </w:rPr>
        <w:t>Extingue-se a punibilidade:</w:t>
      </w:r>
    </w:p>
    <w:p w:rsidR="00F744E9" w:rsidRPr="00F744E9" w:rsidRDefault="00F744E9" w:rsidP="00F744E9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proofErr w:type="gramEnd"/>
      <w:r w:rsidRPr="00F744E9">
        <w:rPr>
          <w:rFonts w:ascii="Arial" w:hAnsi="Arial" w:cs="Arial"/>
          <w:b/>
          <w:sz w:val="21"/>
          <w:szCs w:val="21"/>
        </w:rPr>
        <w:t xml:space="preserve">I </w:t>
      </w:r>
      <w:r w:rsidRPr="00F744E9">
        <w:rPr>
          <w:rFonts w:ascii="Arial" w:hAnsi="Arial" w:cs="Arial"/>
          <w:sz w:val="21"/>
          <w:szCs w:val="21"/>
        </w:rPr>
        <w:t>- Pela morte do preso;</w:t>
      </w:r>
    </w:p>
    <w:p w:rsidR="00F744E9" w:rsidRPr="00F744E9" w:rsidRDefault="00F744E9" w:rsidP="00F744E9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744E9">
        <w:rPr>
          <w:rFonts w:ascii="Arial" w:hAnsi="Arial" w:cs="Arial"/>
          <w:b/>
          <w:sz w:val="21"/>
          <w:szCs w:val="21"/>
        </w:rPr>
        <w:t>II</w:t>
      </w:r>
      <w:r w:rsidRPr="00F744E9">
        <w:rPr>
          <w:rFonts w:ascii="Arial" w:hAnsi="Arial" w:cs="Arial"/>
          <w:sz w:val="21"/>
          <w:szCs w:val="21"/>
        </w:rPr>
        <w:t>- Pela retroatividade de Lei ou regulamento que não mais considere o fato como falta disciplinar;</w:t>
      </w:r>
    </w:p>
    <w:p w:rsidR="00F744E9" w:rsidRPr="00F744E9" w:rsidRDefault="00F744E9" w:rsidP="00F744E9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744E9">
        <w:rPr>
          <w:rFonts w:ascii="Arial" w:hAnsi="Arial" w:cs="Arial"/>
          <w:b/>
          <w:sz w:val="21"/>
          <w:szCs w:val="21"/>
        </w:rPr>
        <w:t>III</w:t>
      </w:r>
      <w:r w:rsidRPr="00F744E9">
        <w:rPr>
          <w:rFonts w:ascii="Arial" w:hAnsi="Arial" w:cs="Arial"/>
          <w:sz w:val="21"/>
          <w:szCs w:val="21"/>
        </w:rPr>
        <w:t xml:space="preserve"> - Pela prescrição;</w:t>
      </w:r>
    </w:p>
    <w:p w:rsidR="00F744E9" w:rsidRPr="00F744E9" w:rsidRDefault="00F744E9" w:rsidP="00F744E9">
      <w:pPr>
        <w:spacing w:before="8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744E9">
        <w:rPr>
          <w:rFonts w:ascii="Arial" w:hAnsi="Arial" w:cs="Arial"/>
          <w:b/>
          <w:sz w:val="21"/>
          <w:szCs w:val="21"/>
        </w:rPr>
        <w:t>IV</w:t>
      </w:r>
      <w:r w:rsidRPr="00F744E9">
        <w:rPr>
          <w:rFonts w:ascii="Arial" w:hAnsi="Arial" w:cs="Arial"/>
          <w:sz w:val="21"/>
          <w:szCs w:val="21"/>
        </w:rPr>
        <w:t>- Pela saída da pessoa presa da unidade prisional por intermédio de alvará de soltura, exceto nos casos de beneficiados com a progressão de pena ao regime aberto ou beneficiados com o livramento condicional.</w:t>
      </w:r>
    </w:p>
    <w:p w:rsidR="00F744E9" w:rsidRPr="00F744E9" w:rsidRDefault="00F744E9" w:rsidP="00F744E9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744E9">
        <w:rPr>
          <w:rFonts w:ascii="Arial" w:hAnsi="Arial" w:cs="Arial"/>
          <w:b/>
          <w:sz w:val="21"/>
          <w:szCs w:val="21"/>
        </w:rPr>
        <w:t>Parágrafo único</w:t>
      </w:r>
      <w:r w:rsidRPr="00F744E9">
        <w:rPr>
          <w:rFonts w:ascii="Arial" w:hAnsi="Arial" w:cs="Arial"/>
          <w:sz w:val="21"/>
          <w:szCs w:val="21"/>
        </w:rPr>
        <w:t>- Dar-se-á a prescrição da infração disciplinar no prazo de 03 anos, conforme art. 109</w:t>
      </w:r>
      <w:proofErr w:type="gramStart"/>
      <w:r w:rsidRPr="00F744E9">
        <w:rPr>
          <w:rFonts w:ascii="Arial" w:hAnsi="Arial" w:cs="Arial"/>
          <w:sz w:val="21"/>
          <w:szCs w:val="21"/>
        </w:rPr>
        <w:t>, VI</w:t>
      </w:r>
      <w:proofErr w:type="gramEnd"/>
      <w:r w:rsidRPr="00F744E9">
        <w:rPr>
          <w:rFonts w:ascii="Arial" w:hAnsi="Arial" w:cs="Arial"/>
          <w:sz w:val="21"/>
          <w:szCs w:val="21"/>
        </w:rPr>
        <w:t>, do Código Penal.</w:t>
      </w:r>
    </w:p>
    <w:p w:rsidR="00F744E9" w:rsidRPr="00981A6B" w:rsidRDefault="00F744E9" w:rsidP="00F744E9">
      <w:pPr>
        <w:spacing w:before="140" w:after="40" w:line="320" w:lineRule="atLeast"/>
        <w:ind w:firstLine="425"/>
        <w:jc w:val="both"/>
        <w:rPr>
          <w:rFonts w:ascii="Arial" w:hAnsi="Arial" w:cs="Arial"/>
          <w:b/>
        </w:rPr>
      </w:pPr>
      <w:r w:rsidRPr="00F744E9">
        <w:rPr>
          <w:rFonts w:ascii="Arial" w:hAnsi="Arial" w:cs="Arial"/>
          <w:b/>
        </w:rPr>
        <w:t>Artigo 78</w:t>
      </w:r>
      <w:r w:rsidRPr="00F744E9">
        <w:rPr>
          <w:rFonts w:ascii="Arial" w:hAnsi="Arial" w:cs="Arial"/>
        </w:rPr>
        <w:t xml:space="preserve"> - </w:t>
      </w:r>
      <w:r w:rsidRPr="00981A6B">
        <w:rPr>
          <w:rFonts w:ascii="Arial" w:hAnsi="Arial" w:cs="Arial"/>
          <w:b/>
        </w:rPr>
        <w:t>A prescrição começa a correr:</w:t>
      </w:r>
    </w:p>
    <w:p w:rsidR="00F744E9" w:rsidRPr="00F744E9" w:rsidRDefault="00F744E9" w:rsidP="00F744E9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744E9">
        <w:rPr>
          <w:rFonts w:ascii="Arial" w:hAnsi="Arial" w:cs="Arial"/>
          <w:b/>
          <w:sz w:val="21"/>
          <w:szCs w:val="21"/>
        </w:rPr>
        <w:t xml:space="preserve">I </w:t>
      </w:r>
      <w:r w:rsidRPr="00F744E9">
        <w:rPr>
          <w:rFonts w:ascii="Arial" w:hAnsi="Arial" w:cs="Arial"/>
          <w:sz w:val="21"/>
          <w:szCs w:val="21"/>
        </w:rPr>
        <w:t>- Do dia em que a infração disciplinar se consumou;</w:t>
      </w:r>
    </w:p>
    <w:p w:rsidR="00F744E9" w:rsidRPr="00F744E9" w:rsidRDefault="00F744E9" w:rsidP="00F744E9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744E9">
        <w:rPr>
          <w:rFonts w:ascii="Arial" w:hAnsi="Arial" w:cs="Arial"/>
          <w:b/>
          <w:sz w:val="21"/>
          <w:szCs w:val="21"/>
        </w:rPr>
        <w:t>II</w:t>
      </w:r>
      <w:r w:rsidRPr="00F744E9">
        <w:rPr>
          <w:rFonts w:ascii="Arial" w:hAnsi="Arial" w:cs="Arial"/>
          <w:sz w:val="21"/>
          <w:szCs w:val="21"/>
        </w:rPr>
        <w:t xml:space="preserve"> - Do dia da recaptura, quando se tratar de fuga, evasão ou abandono;</w:t>
      </w:r>
    </w:p>
    <w:p w:rsidR="00F744E9" w:rsidRPr="00F744E9" w:rsidRDefault="00F744E9" w:rsidP="00BC2593">
      <w:pPr>
        <w:spacing w:before="8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744E9">
        <w:rPr>
          <w:rFonts w:ascii="Arial" w:hAnsi="Arial" w:cs="Arial"/>
          <w:b/>
          <w:sz w:val="21"/>
          <w:szCs w:val="21"/>
        </w:rPr>
        <w:t xml:space="preserve">III </w:t>
      </w:r>
      <w:proofErr w:type="gramStart"/>
      <w:r w:rsidRPr="00F744E9">
        <w:rPr>
          <w:rFonts w:ascii="Arial" w:hAnsi="Arial" w:cs="Arial"/>
          <w:sz w:val="21"/>
          <w:szCs w:val="21"/>
        </w:rPr>
        <w:t>-Nas</w:t>
      </w:r>
      <w:proofErr w:type="gramEnd"/>
      <w:r w:rsidRPr="00F744E9">
        <w:rPr>
          <w:rFonts w:ascii="Arial" w:hAnsi="Arial" w:cs="Arial"/>
          <w:sz w:val="21"/>
          <w:szCs w:val="21"/>
        </w:rPr>
        <w:t xml:space="preserve"> demais infrações disciplinares permanentes, do dia em que cessou a permanência.</w:t>
      </w:r>
    </w:p>
    <w:p w:rsidR="00F744E9" w:rsidRPr="00981A6B" w:rsidRDefault="00F744E9" w:rsidP="00A565DA">
      <w:pPr>
        <w:spacing w:before="60" w:after="8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proofErr w:type="gramStart"/>
      <w:r w:rsidRPr="00BC2593">
        <w:rPr>
          <w:rFonts w:ascii="Arial" w:hAnsi="Arial" w:cs="Arial"/>
          <w:b/>
          <w:sz w:val="21"/>
          <w:szCs w:val="21"/>
        </w:rPr>
        <w:t>Paragrafo único -</w:t>
      </w:r>
      <w:r w:rsidRPr="00BC2593">
        <w:rPr>
          <w:rFonts w:ascii="Arial" w:hAnsi="Arial" w:cs="Arial"/>
          <w:sz w:val="21"/>
          <w:szCs w:val="21"/>
        </w:rPr>
        <w:t xml:space="preserve"> </w:t>
      </w:r>
      <w:r w:rsidRPr="00981A6B">
        <w:rPr>
          <w:rFonts w:ascii="Arial" w:hAnsi="Arial" w:cs="Arial"/>
          <w:b/>
          <w:sz w:val="21"/>
          <w:szCs w:val="21"/>
        </w:rPr>
        <w:t>revogado."</w:t>
      </w:r>
      <w:proofErr w:type="gramEnd"/>
    </w:p>
    <w:p w:rsidR="00F744E9" w:rsidRPr="00F744E9" w:rsidRDefault="00F744E9" w:rsidP="00BC2593">
      <w:pPr>
        <w:spacing w:before="160" w:after="120" w:line="320" w:lineRule="atLeast"/>
        <w:ind w:firstLine="425"/>
        <w:jc w:val="both"/>
        <w:rPr>
          <w:rFonts w:ascii="Arial" w:hAnsi="Arial" w:cs="Arial"/>
        </w:rPr>
      </w:pPr>
      <w:r w:rsidRPr="00BC2593">
        <w:rPr>
          <w:rFonts w:ascii="Arial" w:hAnsi="Arial" w:cs="Arial"/>
          <w:b/>
        </w:rPr>
        <w:t>Artigo 2º</w:t>
      </w:r>
      <w:r w:rsidRPr="00F744E9">
        <w:rPr>
          <w:rFonts w:ascii="Arial" w:hAnsi="Arial" w:cs="Arial"/>
        </w:rPr>
        <w:t xml:space="preserve"> - Esta Resolução entra em vigor na data da sua</w:t>
      </w:r>
      <w:r>
        <w:rPr>
          <w:rFonts w:ascii="Arial" w:hAnsi="Arial" w:cs="Arial"/>
        </w:rPr>
        <w:t xml:space="preserve"> </w:t>
      </w:r>
      <w:r w:rsidRPr="00F744E9">
        <w:rPr>
          <w:rFonts w:ascii="Arial" w:hAnsi="Arial" w:cs="Arial"/>
        </w:rPr>
        <w:t>publicação.</w:t>
      </w:r>
    </w:p>
    <w:p w:rsidR="00DA2BE3" w:rsidRPr="00DA2BE3" w:rsidRDefault="00DA2BE3" w:rsidP="001146CF">
      <w:pPr>
        <w:spacing w:before="80" w:after="120" w:line="280" w:lineRule="atLeast"/>
        <w:ind w:left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DA2BE3" w:rsidRPr="00DA2BE3" w:rsidSect="00C5268F">
      <w:headerReference w:type="default" r:id="rId7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090" w:rsidRDefault="00813090" w:rsidP="00CE505D">
      <w:pPr>
        <w:spacing w:after="0" w:line="240" w:lineRule="auto"/>
      </w:pPr>
      <w:r>
        <w:separator/>
      </w:r>
    </w:p>
  </w:endnote>
  <w:endnote w:type="continuationSeparator" w:id="0">
    <w:p w:rsidR="00813090" w:rsidRDefault="00813090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090" w:rsidRDefault="00813090" w:rsidP="00CE505D">
      <w:pPr>
        <w:spacing w:after="0" w:line="240" w:lineRule="auto"/>
      </w:pPr>
      <w:r>
        <w:separator/>
      </w:r>
    </w:p>
  </w:footnote>
  <w:footnote w:type="continuationSeparator" w:id="0">
    <w:p w:rsidR="00813090" w:rsidRDefault="00813090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505D" w:rsidRDefault="00CE505D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C2C8A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505D"/>
    <w:rsid w:val="001146CF"/>
    <w:rsid w:val="00166114"/>
    <w:rsid w:val="001B0409"/>
    <w:rsid w:val="001E0B47"/>
    <w:rsid w:val="001E664E"/>
    <w:rsid w:val="00204C33"/>
    <w:rsid w:val="00214414"/>
    <w:rsid w:val="00387106"/>
    <w:rsid w:val="004024F8"/>
    <w:rsid w:val="004158E3"/>
    <w:rsid w:val="00492FC9"/>
    <w:rsid w:val="004E5D1B"/>
    <w:rsid w:val="00546738"/>
    <w:rsid w:val="005B6857"/>
    <w:rsid w:val="006158A4"/>
    <w:rsid w:val="006159E2"/>
    <w:rsid w:val="00672DA3"/>
    <w:rsid w:val="00720E13"/>
    <w:rsid w:val="0073126D"/>
    <w:rsid w:val="0076651F"/>
    <w:rsid w:val="00787982"/>
    <w:rsid w:val="00813090"/>
    <w:rsid w:val="00952638"/>
    <w:rsid w:val="00981A6B"/>
    <w:rsid w:val="009C2A87"/>
    <w:rsid w:val="00A07C1A"/>
    <w:rsid w:val="00A565DA"/>
    <w:rsid w:val="00AF24D8"/>
    <w:rsid w:val="00B265A9"/>
    <w:rsid w:val="00B36731"/>
    <w:rsid w:val="00B37935"/>
    <w:rsid w:val="00B544F7"/>
    <w:rsid w:val="00B94EE0"/>
    <w:rsid w:val="00BC1209"/>
    <w:rsid w:val="00BC2593"/>
    <w:rsid w:val="00BC2C8A"/>
    <w:rsid w:val="00C5049A"/>
    <w:rsid w:val="00C5268F"/>
    <w:rsid w:val="00C768E5"/>
    <w:rsid w:val="00CE4C92"/>
    <w:rsid w:val="00CE505D"/>
    <w:rsid w:val="00D2225E"/>
    <w:rsid w:val="00D264CD"/>
    <w:rsid w:val="00D412FA"/>
    <w:rsid w:val="00DA2BE3"/>
    <w:rsid w:val="00DD0774"/>
    <w:rsid w:val="00ED7E7B"/>
    <w:rsid w:val="00F24C89"/>
    <w:rsid w:val="00F744E9"/>
    <w:rsid w:val="00F74FB6"/>
    <w:rsid w:val="00FB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2</cp:revision>
  <cp:lastPrinted>2021-07-12T12:15:00Z</cp:lastPrinted>
  <dcterms:created xsi:type="dcterms:W3CDTF">2021-07-14T16:36:00Z</dcterms:created>
  <dcterms:modified xsi:type="dcterms:W3CDTF">2021-07-14T16:36:00Z</dcterms:modified>
</cp:coreProperties>
</file>