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C54" w:rsidRDefault="00723A6C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69060" cy="456565"/>
            <wp:effectExtent l="0" t="0" r="2540" b="63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28 de janeiro de 2022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Seção I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 xml:space="preserve">São Paulo, 132 (19) </w:t>
      </w:r>
      <w:r w:rsidR="00A86C5E" w:rsidRPr="00A86C5E">
        <w:rPr>
          <w:rFonts w:ascii="Arial" w:hAnsi="Arial" w:cs="Arial"/>
          <w:b/>
          <w:noProof/>
          <w:sz w:val="15"/>
          <w:szCs w:val="15"/>
          <w:lang w:eastAsia="pt-BR"/>
        </w:rPr>
        <w:t>– 16</w:t>
      </w:r>
    </w:p>
    <w:p w:rsidR="006D4F60" w:rsidRPr="001173E6" w:rsidRDefault="006D4F60" w:rsidP="00B722B6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  <w:lang w:eastAsia="pt-BR"/>
        </w:rPr>
      </w:pPr>
      <w:r w:rsidRPr="001173E6">
        <w:rPr>
          <w:rFonts w:ascii="Arial" w:hAnsi="Arial" w:cs="Arial"/>
          <w:noProof/>
          <w:sz w:val="26"/>
          <w:szCs w:val="26"/>
          <w:lang w:eastAsia="pt-BR"/>
        </w:rPr>
        <w:t>Administração Penitenciária</w:t>
      </w:r>
    </w:p>
    <w:p w:rsidR="00B722B6" w:rsidRPr="00FE0484" w:rsidRDefault="00B722B6" w:rsidP="00B722B6">
      <w:pPr>
        <w:spacing w:before="40" w:after="80" w:line="240" w:lineRule="auto"/>
        <w:ind w:firstLine="425"/>
        <w:jc w:val="both"/>
        <w:rPr>
          <w:rFonts w:ascii="Arial" w:hAnsi="Arial" w:cs="Arial"/>
          <w:noProof/>
          <w:sz w:val="16"/>
          <w:szCs w:val="18"/>
          <w:lang w:eastAsia="pt-BR"/>
        </w:rPr>
      </w:pPr>
      <w:r w:rsidRPr="00FE0484">
        <w:rPr>
          <w:rFonts w:ascii="Arial" w:hAnsi="Arial" w:cs="Arial"/>
          <w:noProof/>
          <w:sz w:val="16"/>
          <w:szCs w:val="18"/>
          <w:lang w:eastAsia="pt-BR"/>
        </w:rPr>
        <w:t>GABINETE DO SECRETÁRIO</w:t>
      </w:r>
    </w:p>
    <w:p w:rsidR="0016434F" w:rsidRPr="0033633E" w:rsidRDefault="0016434F" w:rsidP="0016434F">
      <w:pPr>
        <w:spacing w:before="200" w:after="40" w:line="300" w:lineRule="atLeast"/>
        <w:ind w:firstLine="425"/>
        <w:jc w:val="both"/>
        <w:rPr>
          <w:rFonts w:ascii="Arial" w:hAnsi="Arial" w:cs="Arial"/>
          <w:b/>
          <w:noProof/>
          <w:sz w:val="24"/>
          <w:szCs w:val="26"/>
          <w:lang w:eastAsia="pt-BR"/>
        </w:rPr>
      </w:pPr>
      <w:r w:rsidRPr="0033633E">
        <w:rPr>
          <w:rFonts w:ascii="Arial" w:hAnsi="Arial" w:cs="Arial"/>
          <w:b/>
          <w:noProof/>
          <w:sz w:val="24"/>
          <w:szCs w:val="26"/>
          <w:lang w:eastAsia="pt-BR"/>
        </w:rPr>
        <w:t>Resolução Secretaria da Administração Penitenciária 15, de 27 de janeiro de 2022.</w:t>
      </w:r>
    </w:p>
    <w:p w:rsidR="0016434F" w:rsidRPr="0016434F" w:rsidRDefault="0016434F" w:rsidP="0016434F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  <w:lang w:eastAsia="pt-BR"/>
        </w:rPr>
      </w:pPr>
      <w:r w:rsidRPr="0016434F">
        <w:rPr>
          <w:rFonts w:ascii="Arial" w:hAnsi="Arial" w:cs="Arial"/>
          <w:b/>
          <w:i/>
          <w:noProof/>
          <w:sz w:val="23"/>
          <w:szCs w:val="23"/>
          <w:lang w:eastAsia="pt-BR"/>
        </w:rPr>
        <w:t>Disciplina o ingresso de pessoas nas repartições públicas da Secretaria da Administração Penitenciária e dá outras providências.</w:t>
      </w:r>
    </w:p>
    <w:p w:rsidR="0016434F" w:rsidRPr="0016434F" w:rsidRDefault="0016434F" w:rsidP="0016434F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16434F">
        <w:rPr>
          <w:rFonts w:ascii="Arial" w:hAnsi="Arial" w:cs="Arial"/>
          <w:noProof/>
          <w:lang w:eastAsia="pt-BR"/>
        </w:rPr>
        <w:t>O Secretário da Administração Penitenciária, nos termos da</w:t>
      </w:r>
      <w:r>
        <w:rPr>
          <w:rFonts w:ascii="Arial" w:hAnsi="Arial" w:cs="Arial"/>
          <w:noProof/>
          <w:lang w:eastAsia="pt-BR"/>
        </w:rPr>
        <w:t xml:space="preserve"> </w:t>
      </w:r>
      <w:r w:rsidRPr="0016434F">
        <w:rPr>
          <w:rFonts w:ascii="Arial" w:hAnsi="Arial" w:cs="Arial"/>
          <w:noProof/>
          <w:lang w:eastAsia="pt-BR"/>
        </w:rPr>
        <w:t>competência que lhe confere a alínea c, do inciso II, do artigo 48,</w:t>
      </w:r>
      <w:r>
        <w:rPr>
          <w:rFonts w:ascii="Arial" w:hAnsi="Arial" w:cs="Arial"/>
          <w:noProof/>
          <w:lang w:eastAsia="pt-BR"/>
        </w:rPr>
        <w:t xml:space="preserve"> </w:t>
      </w:r>
      <w:r w:rsidRPr="0016434F">
        <w:rPr>
          <w:rFonts w:ascii="Arial" w:hAnsi="Arial" w:cs="Arial"/>
          <w:noProof/>
          <w:lang w:eastAsia="pt-BR"/>
        </w:rPr>
        <w:t>do Decreto 46.623, de 21-03-2002,</w:t>
      </w:r>
    </w:p>
    <w:p w:rsidR="0016434F" w:rsidRPr="0016434F" w:rsidRDefault="0016434F" w:rsidP="0016434F">
      <w:pPr>
        <w:spacing w:before="8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16434F">
        <w:rPr>
          <w:rFonts w:ascii="Arial" w:hAnsi="Arial" w:cs="Arial"/>
          <w:noProof/>
          <w:sz w:val="21"/>
          <w:szCs w:val="21"/>
          <w:lang w:eastAsia="pt-BR"/>
        </w:rPr>
        <w:t>Considerando o direito às visitas, instituído pelo inciso X, do art. 41 da Lei de Execução Penal; verificada a elevada relevância q</w:t>
      </w:r>
      <w:bookmarkStart w:id="0" w:name="_GoBack"/>
      <w:bookmarkEnd w:id="0"/>
      <w:r w:rsidRPr="0016434F">
        <w:rPr>
          <w:rFonts w:ascii="Arial" w:hAnsi="Arial" w:cs="Arial"/>
          <w:noProof/>
          <w:sz w:val="21"/>
          <w:szCs w:val="21"/>
          <w:lang w:eastAsia="pt-BR"/>
        </w:rPr>
        <w:t>ue o contato externo possui para a ressocialização e reintegração do reeducando, bem como a manutenção da ordem e disciplina nos estabelecimentos prisionais;</w:t>
      </w:r>
    </w:p>
    <w:p w:rsidR="0016434F" w:rsidRPr="0016434F" w:rsidRDefault="0016434F" w:rsidP="0016434F">
      <w:pPr>
        <w:spacing w:before="8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16434F">
        <w:rPr>
          <w:rFonts w:ascii="Arial" w:hAnsi="Arial" w:cs="Arial"/>
          <w:noProof/>
          <w:sz w:val="21"/>
          <w:szCs w:val="21"/>
          <w:lang w:eastAsia="pt-BR"/>
        </w:rPr>
        <w:t>Considerando as medidas previstas no Plano de Contingência para a COVID-19 no Sistema Prisional Paulista, traduzidas nas ações de prevenção no interior dos Estabelecimentos Prisionais e no pronto atendimento das pessoas privadas de liberdade com sintomas ou com a doença confirmada, que resultam no controle da disseminação da doença no âmbito penitenciário;</w:t>
      </w:r>
    </w:p>
    <w:p w:rsidR="0016434F" w:rsidRPr="0016434F" w:rsidRDefault="0016434F" w:rsidP="0016434F">
      <w:pPr>
        <w:spacing w:before="8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16434F">
        <w:rPr>
          <w:rFonts w:ascii="Arial" w:hAnsi="Arial" w:cs="Arial"/>
          <w:noProof/>
          <w:sz w:val="21"/>
          <w:szCs w:val="21"/>
          <w:lang w:eastAsia="pt-BR"/>
        </w:rPr>
        <w:t>Considerando as estatísticas da vacinação no Estado de São Paulo contra Covid-19 disponibilizadas no link https://www.vacinaja.sp.gov.br/, incluindo-se neste cenário os servidores dos estabelecimentos penais, da população prisional e da população em geral;</w:t>
      </w:r>
    </w:p>
    <w:p w:rsidR="0016434F" w:rsidRPr="0016434F" w:rsidRDefault="0016434F" w:rsidP="0016434F">
      <w:pPr>
        <w:spacing w:before="8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16434F">
        <w:rPr>
          <w:rFonts w:ascii="Arial" w:hAnsi="Arial" w:cs="Arial"/>
          <w:noProof/>
          <w:sz w:val="21"/>
          <w:szCs w:val="21"/>
          <w:lang w:eastAsia="pt-BR"/>
        </w:rPr>
        <w:t>Considerando que os visitantes do sistema penitenciário estão sujeito às normas disciplinadas pela Secretaria da Administração Penitenciária, nos termos da Resolução SAP 144 de 29-06-2010 e alterações que instituiu o Regimento Interno Padrão do Sistema Penitenciário do Estado de São Paulo e demais leis, regulamentos, instruções e ordens de serviço que digam a respeito;</w:t>
      </w:r>
    </w:p>
    <w:p w:rsidR="0016434F" w:rsidRPr="0016434F" w:rsidRDefault="0016434F" w:rsidP="0016434F">
      <w:pPr>
        <w:spacing w:before="8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16434F">
        <w:rPr>
          <w:rFonts w:ascii="Arial" w:hAnsi="Arial" w:cs="Arial"/>
          <w:noProof/>
          <w:sz w:val="21"/>
          <w:szCs w:val="21"/>
          <w:lang w:eastAsia="pt-BR"/>
        </w:rPr>
        <w:t>Considerando que a imunização não confere a possibilidade da adoção de antigos hábitos, ao revés, exige a manutenção das medidas de segurança sanitária, como o uso de máscara, o respeito ao distanciamento e a higienização constante das mãos.</w:t>
      </w:r>
    </w:p>
    <w:p w:rsidR="0016434F" w:rsidRPr="0016434F" w:rsidRDefault="0016434F" w:rsidP="0016434F">
      <w:pPr>
        <w:spacing w:before="8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16434F">
        <w:rPr>
          <w:rFonts w:ascii="Arial" w:hAnsi="Arial" w:cs="Arial"/>
          <w:noProof/>
          <w:sz w:val="21"/>
          <w:szCs w:val="21"/>
          <w:lang w:eastAsia="pt-BR"/>
        </w:rPr>
        <w:t>Considerando o decreto 66.421, de 03/01/2022, que dispõe sobre a comprovação de vacinação contra a COVID-19 por parte dos agentes públicos que especifica e dá providências correlatas;</w:t>
      </w:r>
    </w:p>
    <w:p w:rsidR="0016434F" w:rsidRPr="0016434F" w:rsidRDefault="0016434F" w:rsidP="0016434F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lang w:eastAsia="pt-BR"/>
        </w:rPr>
      </w:pPr>
      <w:r w:rsidRPr="0016434F">
        <w:rPr>
          <w:rFonts w:ascii="Arial" w:hAnsi="Arial" w:cs="Arial"/>
          <w:b/>
          <w:noProof/>
          <w:lang w:eastAsia="pt-BR"/>
        </w:rPr>
        <w:t>Resolve:</w:t>
      </w:r>
    </w:p>
    <w:p w:rsidR="0016434F" w:rsidRPr="0016434F" w:rsidRDefault="0016434F" w:rsidP="00F968B2">
      <w:pPr>
        <w:spacing w:before="80" w:after="4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Art. 1º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</w:t>
      </w: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O ingresso às repartições públicas da Secretaria da Administração Penitenciária está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</w:t>
      </w: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condicionado a apresentação da comprovação de vacinação com esquema completo contra a Covid-19 ou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</w:t>
      </w: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de atestado médico que evidencie contraindicação para a vacinação contra a Covid 19.</w:t>
      </w:r>
    </w:p>
    <w:p w:rsidR="0016434F" w:rsidRPr="0016434F" w:rsidRDefault="0016434F" w:rsidP="00F968B2">
      <w:pPr>
        <w:spacing w:before="6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§1º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Para os fins desta Resolução, considera-se como ciclo vacinal completo contra a Covid-19, a imunização com ao menos, duas doses de vacina contra a doença, ou dose única, quando o caso, em período não inferior a 20 (vinte) dias.</w:t>
      </w:r>
    </w:p>
    <w:p w:rsidR="0016434F" w:rsidRPr="0016434F" w:rsidRDefault="0016434F" w:rsidP="00F968B2">
      <w:pPr>
        <w:spacing w:before="80" w:after="40" w:line="28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§2º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A comprovação de que trata o caput deste artigo se dará da seguinte forma:</w:t>
      </w:r>
    </w:p>
    <w:p w:rsidR="0016434F" w:rsidRPr="0016434F" w:rsidRDefault="0016434F" w:rsidP="00F968B2">
      <w:pPr>
        <w:spacing w:before="6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a)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Para os visitantes das pessoas privadas de liberdade, com a apresentação do documento físico, sendo vedada a apresentação por meio de aparelho celular ou semelhante e,</w:t>
      </w:r>
    </w:p>
    <w:p w:rsidR="0016434F" w:rsidRPr="0016434F" w:rsidRDefault="0016434F" w:rsidP="00F968B2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b)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Para os demais usuários do sistema penitenciário a comprovação poderá se dar, por meio da apresentação física do documento ou por meio de aparelho celular o qual ficará retido na portaria até o final da permanência no ambiente prisional.</w:t>
      </w:r>
    </w:p>
    <w:p w:rsidR="0016434F" w:rsidRPr="0016434F" w:rsidRDefault="0016434F" w:rsidP="00F968B2">
      <w:pPr>
        <w:spacing w:before="10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§3º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Deverão ser inseridas no Sistema de Gestão Prisional Única ? GPU as informações relativas à comprovação ou não de que trata o caput do artigo 1º, sendo vedada a entrada da pessoa que figurar com o status: não informado.</w:t>
      </w:r>
    </w:p>
    <w:p w:rsidR="0016434F" w:rsidRPr="0016434F" w:rsidRDefault="0016434F" w:rsidP="00F968B2">
      <w:pPr>
        <w:spacing w:before="120" w:after="4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Artigo 2º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Alterar os itens 6 e 8, do artigo 2º da Resolução SAP 183, de 5-11-2020, que passam a vigorar com as seguintes redações:</w:t>
      </w:r>
    </w:p>
    <w:p w:rsidR="0016434F" w:rsidRPr="0016434F" w:rsidRDefault="0016434F" w:rsidP="00F968B2">
      <w:pPr>
        <w:spacing w:before="60" w:after="40" w:line="28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lastRenderedPageBreak/>
        <w:t>a)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</w:t>
      </w: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6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Restrita a 2 pessoas, maiores de 12 anos de idade, por reeducando, devidamente cadastradas no rol de visitantes;</w:t>
      </w:r>
    </w:p>
    <w:p w:rsidR="0016434F" w:rsidRPr="0016434F" w:rsidRDefault="0016434F" w:rsidP="00F968B2">
      <w:pPr>
        <w:spacing w:before="6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6.1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>- Poderão realizar visita social até 2 crianças entre 5 e 12 anos incompletos, com esquema vacinal completo ou atestado médico que evidencie contraindicação para a vacinação contra a Covid 19;</w:t>
      </w:r>
    </w:p>
    <w:p w:rsidR="0016434F" w:rsidRPr="0016434F" w:rsidRDefault="0016434F" w:rsidP="00F968B2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6.2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A entrada de crianças e adolescentes, para visitas comuns, é permitida nos termos do artigo 112, do Regimento Interno Padrão.</w:t>
      </w:r>
    </w:p>
    <w:p w:rsidR="0016434F" w:rsidRPr="0016434F" w:rsidRDefault="0016434F" w:rsidP="00F968B2">
      <w:pPr>
        <w:spacing w:before="100" w:after="80" w:line="28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b) 8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Deverá portar somente: carteira de visitante; carteira de vacinação ou atestado médico que evidencie contraindicação para a vacinação contra a Covid 19, sendo vedada a entrada de quaisquer outros objetos, como bolsas, mochilas, sacolas e similares, itens de higiene, itens de vestuário, e etc; sendo permitida, no dia da visitação, a entrada de até 3 quilos de comida pronta em geral, além de uma garrafa pet de 2 litros de refrigerante - ambos (comida e refrigerante) por reeducando.</w:t>
      </w:r>
    </w:p>
    <w:p w:rsidR="0016434F" w:rsidRPr="0016434F" w:rsidRDefault="0016434F" w:rsidP="00F968B2">
      <w:pPr>
        <w:spacing w:before="120" w:after="4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Artigo 3º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Revogar as disposições em contrário, em especial:</w:t>
      </w:r>
    </w:p>
    <w:p w:rsidR="0016434F" w:rsidRPr="0016434F" w:rsidRDefault="0016434F" w:rsidP="00F968B2">
      <w:pPr>
        <w:spacing w:before="6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a)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Os itens 6.1; 6.2; 8 e 9 do artigo 1º, da Resolução SAP 86, de 5-7-2021;</w:t>
      </w:r>
    </w:p>
    <w:p w:rsidR="0016434F" w:rsidRPr="0016434F" w:rsidRDefault="0016434F" w:rsidP="00F968B2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b)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o item b, do artigo 1º da resolução SAP 125, 26-08-2021.</w:t>
      </w:r>
    </w:p>
    <w:p w:rsidR="0016434F" w:rsidRPr="0016434F" w:rsidRDefault="0016434F" w:rsidP="00F968B2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c)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O artigo 2º, da Resolução SAP 141, de 1-10-2021</w:t>
      </w:r>
    </w:p>
    <w:p w:rsidR="0016434F" w:rsidRPr="0016434F" w:rsidRDefault="0016434F" w:rsidP="00F968B2">
      <w:pPr>
        <w:spacing w:before="12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Art. 4º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os demais dispositivos das Resoluções SAP 183, de 5-11-2020; SAP 86, de 5-7-2021; SAP 125, de 26-08-2021 e SAP 141, de 01-10-2021 permanecem inalterados.</w:t>
      </w:r>
    </w:p>
    <w:p w:rsidR="0016434F" w:rsidRPr="0016434F" w:rsidRDefault="0016434F" w:rsidP="00F968B2">
      <w:pPr>
        <w:spacing w:before="12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Art. 5º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- As regras desta Resolução, aplicam-se para o ingresso de toda e qualquer pessoa nas repartições do Sistema Penitenciário Paulista.</w:t>
      </w:r>
    </w:p>
    <w:p w:rsidR="0016434F" w:rsidRPr="0016434F" w:rsidRDefault="0016434F" w:rsidP="00F968B2">
      <w:pPr>
        <w:spacing w:before="12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Art. 6º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>- Estas medidas poderão ser reavaliadas a qualquer tempo em decorrência do cenário de saúde pública.</w:t>
      </w:r>
    </w:p>
    <w:p w:rsidR="0016434F" w:rsidRPr="0016434F" w:rsidRDefault="0016434F" w:rsidP="00F968B2">
      <w:pPr>
        <w:spacing w:before="120" w:after="80" w:line="300" w:lineRule="atLeast"/>
        <w:ind w:firstLine="425"/>
        <w:jc w:val="both"/>
        <w:rPr>
          <w:rFonts w:ascii="Arial" w:hAnsi="Arial" w:cs="Arial"/>
          <w:noProof/>
          <w:sz w:val="21"/>
          <w:szCs w:val="21"/>
          <w:lang w:eastAsia="pt-BR"/>
        </w:rPr>
      </w:pPr>
      <w:r w:rsidRPr="00F968B2">
        <w:rPr>
          <w:rFonts w:ascii="Arial" w:hAnsi="Arial" w:cs="Arial"/>
          <w:b/>
          <w:noProof/>
          <w:sz w:val="21"/>
          <w:szCs w:val="21"/>
          <w:lang w:eastAsia="pt-BR"/>
        </w:rPr>
        <w:t>Art. 7º</w:t>
      </w:r>
      <w:r w:rsidRPr="0016434F">
        <w:rPr>
          <w:rFonts w:ascii="Arial" w:hAnsi="Arial" w:cs="Arial"/>
          <w:noProof/>
          <w:sz w:val="21"/>
          <w:szCs w:val="21"/>
          <w:lang w:eastAsia="pt-BR"/>
        </w:rPr>
        <w:t xml:space="preserve"> Esta Resolução entra em vigor na data da sua publicação.</w:t>
      </w:r>
    </w:p>
    <w:p w:rsidR="00E74D41" w:rsidRPr="00D23E85" w:rsidRDefault="008F4BC9" w:rsidP="006D4F60">
      <w:pPr>
        <w:spacing w:before="120" w:after="8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E74D41" w:rsidRPr="00D23E85" w:rsidSect="00161C41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BD2" w:rsidRDefault="00CF1BD2" w:rsidP="00CE505D">
      <w:pPr>
        <w:spacing w:after="0" w:line="240" w:lineRule="auto"/>
      </w:pPr>
      <w:r>
        <w:separator/>
      </w:r>
    </w:p>
  </w:endnote>
  <w:endnote w:type="continuationSeparator" w:id="0">
    <w:p w:rsidR="00CF1BD2" w:rsidRDefault="00CF1BD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BD2" w:rsidRDefault="00CF1BD2" w:rsidP="00CE505D">
      <w:pPr>
        <w:spacing w:after="0" w:line="240" w:lineRule="auto"/>
      </w:pPr>
      <w:r>
        <w:separator/>
      </w:r>
    </w:p>
  </w:footnote>
  <w:footnote w:type="continuationSeparator" w:id="0">
    <w:p w:rsidR="00CF1BD2" w:rsidRDefault="00CF1BD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3633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36D7"/>
    <w:rsid w:val="00016141"/>
    <w:rsid w:val="000212BD"/>
    <w:rsid w:val="000232AB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4014"/>
    <w:rsid w:val="000507A4"/>
    <w:rsid w:val="00050B1E"/>
    <w:rsid w:val="000517E0"/>
    <w:rsid w:val="0005483D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7851"/>
    <w:rsid w:val="000E0F98"/>
    <w:rsid w:val="000E164B"/>
    <w:rsid w:val="000E3200"/>
    <w:rsid w:val="000E4936"/>
    <w:rsid w:val="000E58CA"/>
    <w:rsid w:val="000E6F2D"/>
    <w:rsid w:val="000F08A0"/>
    <w:rsid w:val="000F094F"/>
    <w:rsid w:val="000F0BF5"/>
    <w:rsid w:val="000F4059"/>
    <w:rsid w:val="000F44A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250C"/>
    <w:rsid w:val="00112A52"/>
    <w:rsid w:val="00114FB4"/>
    <w:rsid w:val="0011543A"/>
    <w:rsid w:val="00115A5E"/>
    <w:rsid w:val="00117087"/>
    <w:rsid w:val="001173E6"/>
    <w:rsid w:val="00117A96"/>
    <w:rsid w:val="001239F6"/>
    <w:rsid w:val="00126F69"/>
    <w:rsid w:val="00132BA6"/>
    <w:rsid w:val="00132C1A"/>
    <w:rsid w:val="0013370A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55F4"/>
    <w:rsid w:val="00156594"/>
    <w:rsid w:val="00161461"/>
    <w:rsid w:val="00161786"/>
    <w:rsid w:val="00161C41"/>
    <w:rsid w:val="0016434F"/>
    <w:rsid w:val="00164FE7"/>
    <w:rsid w:val="001659BB"/>
    <w:rsid w:val="00170523"/>
    <w:rsid w:val="00171060"/>
    <w:rsid w:val="00171A25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B87"/>
    <w:rsid w:val="00190F43"/>
    <w:rsid w:val="00191697"/>
    <w:rsid w:val="0019185D"/>
    <w:rsid w:val="0019400D"/>
    <w:rsid w:val="001956F4"/>
    <w:rsid w:val="001977D1"/>
    <w:rsid w:val="001A1150"/>
    <w:rsid w:val="001A115A"/>
    <w:rsid w:val="001A28BE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30B7F"/>
    <w:rsid w:val="0023336D"/>
    <w:rsid w:val="00233917"/>
    <w:rsid w:val="002428D2"/>
    <w:rsid w:val="00244C5F"/>
    <w:rsid w:val="002468EA"/>
    <w:rsid w:val="00247B94"/>
    <w:rsid w:val="002533B6"/>
    <w:rsid w:val="00253E2A"/>
    <w:rsid w:val="00254C54"/>
    <w:rsid w:val="0025634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B91"/>
    <w:rsid w:val="002C3E7E"/>
    <w:rsid w:val="002C4A5A"/>
    <w:rsid w:val="002C4E70"/>
    <w:rsid w:val="002C528C"/>
    <w:rsid w:val="002C5470"/>
    <w:rsid w:val="002C55C4"/>
    <w:rsid w:val="002C69C2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320F"/>
    <w:rsid w:val="00316D0B"/>
    <w:rsid w:val="00317984"/>
    <w:rsid w:val="00323B0C"/>
    <w:rsid w:val="00323CF5"/>
    <w:rsid w:val="00325A0E"/>
    <w:rsid w:val="00325D3B"/>
    <w:rsid w:val="0032661F"/>
    <w:rsid w:val="00327D35"/>
    <w:rsid w:val="003309EE"/>
    <w:rsid w:val="00331D51"/>
    <w:rsid w:val="00335DF7"/>
    <w:rsid w:val="0033633E"/>
    <w:rsid w:val="0033758A"/>
    <w:rsid w:val="00337B6A"/>
    <w:rsid w:val="00341070"/>
    <w:rsid w:val="00350439"/>
    <w:rsid w:val="00350BBE"/>
    <w:rsid w:val="00350D9E"/>
    <w:rsid w:val="003568F1"/>
    <w:rsid w:val="0036196D"/>
    <w:rsid w:val="003635F5"/>
    <w:rsid w:val="00364E5A"/>
    <w:rsid w:val="00367CF6"/>
    <w:rsid w:val="00370D26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459E"/>
    <w:rsid w:val="003948FA"/>
    <w:rsid w:val="00394AA4"/>
    <w:rsid w:val="0039621C"/>
    <w:rsid w:val="003974E6"/>
    <w:rsid w:val="00397D7C"/>
    <w:rsid w:val="003A024B"/>
    <w:rsid w:val="003A042C"/>
    <w:rsid w:val="003A0835"/>
    <w:rsid w:val="003A16DA"/>
    <w:rsid w:val="003A3D64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2F0A"/>
    <w:rsid w:val="003D3E76"/>
    <w:rsid w:val="003D7FF9"/>
    <w:rsid w:val="003E05CB"/>
    <w:rsid w:val="003E2897"/>
    <w:rsid w:val="003E2AC6"/>
    <w:rsid w:val="003E2E1B"/>
    <w:rsid w:val="003E3A92"/>
    <w:rsid w:val="003F0C16"/>
    <w:rsid w:val="003F0E96"/>
    <w:rsid w:val="003F1839"/>
    <w:rsid w:val="003F6349"/>
    <w:rsid w:val="003F6E8D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680"/>
    <w:rsid w:val="00412802"/>
    <w:rsid w:val="0041668A"/>
    <w:rsid w:val="004207AA"/>
    <w:rsid w:val="00420A80"/>
    <w:rsid w:val="0042225B"/>
    <w:rsid w:val="00422F16"/>
    <w:rsid w:val="00424A29"/>
    <w:rsid w:val="00425001"/>
    <w:rsid w:val="00427180"/>
    <w:rsid w:val="00430170"/>
    <w:rsid w:val="00430C07"/>
    <w:rsid w:val="004311B0"/>
    <w:rsid w:val="004313EE"/>
    <w:rsid w:val="00433023"/>
    <w:rsid w:val="00433DE2"/>
    <w:rsid w:val="0043473B"/>
    <w:rsid w:val="004350D3"/>
    <w:rsid w:val="004351AB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995"/>
    <w:rsid w:val="004562EC"/>
    <w:rsid w:val="0045715E"/>
    <w:rsid w:val="004573C3"/>
    <w:rsid w:val="00460273"/>
    <w:rsid w:val="00460344"/>
    <w:rsid w:val="00460813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FC9"/>
    <w:rsid w:val="00494E32"/>
    <w:rsid w:val="004975D6"/>
    <w:rsid w:val="00497894"/>
    <w:rsid w:val="00497AB9"/>
    <w:rsid w:val="00497D48"/>
    <w:rsid w:val="004A152A"/>
    <w:rsid w:val="004A23FC"/>
    <w:rsid w:val="004A3350"/>
    <w:rsid w:val="004A3907"/>
    <w:rsid w:val="004A7F22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C14EA"/>
    <w:rsid w:val="004C370A"/>
    <w:rsid w:val="004C7FC7"/>
    <w:rsid w:val="004D1639"/>
    <w:rsid w:val="004D2A32"/>
    <w:rsid w:val="004D4FBA"/>
    <w:rsid w:val="004D69F4"/>
    <w:rsid w:val="004E0B5B"/>
    <w:rsid w:val="004E1232"/>
    <w:rsid w:val="004E1F73"/>
    <w:rsid w:val="004E3B65"/>
    <w:rsid w:val="004E53A2"/>
    <w:rsid w:val="004F040D"/>
    <w:rsid w:val="004F07DC"/>
    <w:rsid w:val="004F2FAE"/>
    <w:rsid w:val="004F5AFD"/>
    <w:rsid w:val="004F5C5C"/>
    <w:rsid w:val="004F5C8A"/>
    <w:rsid w:val="004F7CD4"/>
    <w:rsid w:val="0050124D"/>
    <w:rsid w:val="00504BD8"/>
    <w:rsid w:val="005050FF"/>
    <w:rsid w:val="00506DF5"/>
    <w:rsid w:val="00511EF0"/>
    <w:rsid w:val="00512EEF"/>
    <w:rsid w:val="00514243"/>
    <w:rsid w:val="00517CE3"/>
    <w:rsid w:val="005202BB"/>
    <w:rsid w:val="00520E23"/>
    <w:rsid w:val="0052208D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F6C"/>
    <w:rsid w:val="00546738"/>
    <w:rsid w:val="0055274D"/>
    <w:rsid w:val="005542B0"/>
    <w:rsid w:val="0055520C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459"/>
    <w:rsid w:val="005769A8"/>
    <w:rsid w:val="005775A0"/>
    <w:rsid w:val="00583C25"/>
    <w:rsid w:val="0058528E"/>
    <w:rsid w:val="00587365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C6782"/>
    <w:rsid w:val="005C6A37"/>
    <w:rsid w:val="005C6AE8"/>
    <w:rsid w:val="005D059B"/>
    <w:rsid w:val="005D08C5"/>
    <w:rsid w:val="005D3710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5071"/>
    <w:rsid w:val="006011D3"/>
    <w:rsid w:val="00601A33"/>
    <w:rsid w:val="00602849"/>
    <w:rsid w:val="00603426"/>
    <w:rsid w:val="00604426"/>
    <w:rsid w:val="006056EB"/>
    <w:rsid w:val="00606897"/>
    <w:rsid w:val="00611CCA"/>
    <w:rsid w:val="00613299"/>
    <w:rsid w:val="00613576"/>
    <w:rsid w:val="00613A02"/>
    <w:rsid w:val="0061523C"/>
    <w:rsid w:val="006157A2"/>
    <w:rsid w:val="00617678"/>
    <w:rsid w:val="00621C5F"/>
    <w:rsid w:val="0062380F"/>
    <w:rsid w:val="00625309"/>
    <w:rsid w:val="00631E6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6004D"/>
    <w:rsid w:val="0066075C"/>
    <w:rsid w:val="00660EF5"/>
    <w:rsid w:val="0066359C"/>
    <w:rsid w:val="00663F3D"/>
    <w:rsid w:val="0066464F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18BF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F26F3"/>
    <w:rsid w:val="006F2968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6709"/>
    <w:rsid w:val="00706DC4"/>
    <w:rsid w:val="00707E29"/>
    <w:rsid w:val="007111B5"/>
    <w:rsid w:val="00711987"/>
    <w:rsid w:val="00714721"/>
    <w:rsid w:val="00716202"/>
    <w:rsid w:val="00720AE3"/>
    <w:rsid w:val="00720E13"/>
    <w:rsid w:val="00723A6C"/>
    <w:rsid w:val="00724163"/>
    <w:rsid w:val="00724592"/>
    <w:rsid w:val="00726C6C"/>
    <w:rsid w:val="007312C4"/>
    <w:rsid w:val="00735F37"/>
    <w:rsid w:val="00742EEC"/>
    <w:rsid w:val="0074409D"/>
    <w:rsid w:val="007447D8"/>
    <w:rsid w:val="00745E1D"/>
    <w:rsid w:val="00750B7A"/>
    <w:rsid w:val="007533A2"/>
    <w:rsid w:val="00755C9D"/>
    <w:rsid w:val="00755D56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09CB"/>
    <w:rsid w:val="007E7C3D"/>
    <w:rsid w:val="007F55E9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23F94"/>
    <w:rsid w:val="00825011"/>
    <w:rsid w:val="00825375"/>
    <w:rsid w:val="00825E47"/>
    <w:rsid w:val="00830B7C"/>
    <w:rsid w:val="0083305D"/>
    <w:rsid w:val="008332E7"/>
    <w:rsid w:val="00834F0E"/>
    <w:rsid w:val="00836936"/>
    <w:rsid w:val="00837B3E"/>
    <w:rsid w:val="00840519"/>
    <w:rsid w:val="00841218"/>
    <w:rsid w:val="00843253"/>
    <w:rsid w:val="00853FE9"/>
    <w:rsid w:val="008639F3"/>
    <w:rsid w:val="00863AC1"/>
    <w:rsid w:val="00863CBA"/>
    <w:rsid w:val="00865673"/>
    <w:rsid w:val="00866711"/>
    <w:rsid w:val="00867CFB"/>
    <w:rsid w:val="00871857"/>
    <w:rsid w:val="0087460C"/>
    <w:rsid w:val="00882FA1"/>
    <w:rsid w:val="0088328C"/>
    <w:rsid w:val="008928D5"/>
    <w:rsid w:val="00894648"/>
    <w:rsid w:val="00897463"/>
    <w:rsid w:val="008A1AEB"/>
    <w:rsid w:val="008A22CA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F12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68E"/>
    <w:rsid w:val="0090517F"/>
    <w:rsid w:val="009075F6"/>
    <w:rsid w:val="0091053E"/>
    <w:rsid w:val="00910E2F"/>
    <w:rsid w:val="00917009"/>
    <w:rsid w:val="009257BC"/>
    <w:rsid w:val="009306B1"/>
    <w:rsid w:val="0093466A"/>
    <w:rsid w:val="00935512"/>
    <w:rsid w:val="00937F21"/>
    <w:rsid w:val="009411DA"/>
    <w:rsid w:val="00941F2A"/>
    <w:rsid w:val="0094273C"/>
    <w:rsid w:val="00942C0E"/>
    <w:rsid w:val="009436C0"/>
    <w:rsid w:val="009444AC"/>
    <w:rsid w:val="00946998"/>
    <w:rsid w:val="00946B2E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240D"/>
    <w:rsid w:val="009724E0"/>
    <w:rsid w:val="00972A88"/>
    <w:rsid w:val="00974E51"/>
    <w:rsid w:val="00975014"/>
    <w:rsid w:val="00975E1D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65BC"/>
    <w:rsid w:val="009B08AB"/>
    <w:rsid w:val="009B1B05"/>
    <w:rsid w:val="009B31A8"/>
    <w:rsid w:val="009B5EA1"/>
    <w:rsid w:val="009B6202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357B"/>
    <w:rsid w:val="009D49C3"/>
    <w:rsid w:val="009D4F55"/>
    <w:rsid w:val="009D72D6"/>
    <w:rsid w:val="009D7363"/>
    <w:rsid w:val="009D7B12"/>
    <w:rsid w:val="009D7C0B"/>
    <w:rsid w:val="009E0EBB"/>
    <w:rsid w:val="009E3AAA"/>
    <w:rsid w:val="009E4DD6"/>
    <w:rsid w:val="009E5C82"/>
    <w:rsid w:val="009E7576"/>
    <w:rsid w:val="009F0CDA"/>
    <w:rsid w:val="009F1C89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1764"/>
    <w:rsid w:val="00A21D04"/>
    <w:rsid w:val="00A23039"/>
    <w:rsid w:val="00A252DD"/>
    <w:rsid w:val="00A26BE7"/>
    <w:rsid w:val="00A27FB6"/>
    <w:rsid w:val="00A3001F"/>
    <w:rsid w:val="00A32053"/>
    <w:rsid w:val="00A3373C"/>
    <w:rsid w:val="00A33BE8"/>
    <w:rsid w:val="00A34090"/>
    <w:rsid w:val="00A42D37"/>
    <w:rsid w:val="00A45A20"/>
    <w:rsid w:val="00A4750B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1642"/>
    <w:rsid w:val="00A74523"/>
    <w:rsid w:val="00A75AA3"/>
    <w:rsid w:val="00A76454"/>
    <w:rsid w:val="00A81E46"/>
    <w:rsid w:val="00A86C5E"/>
    <w:rsid w:val="00A8745B"/>
    <w:rsid w:val="00A87EB6"/>
    <w:rsid w:val="00A913AA"/>
    <w:rsid w:val="00A913C4"/>
    <w:rsid w:val="00A9208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737"/>
    <w:rsid w:val="00AA6020"/>
    <w:rsid w:val="00AA637F"/>
    <w:rsid w:val="00AB2F09"/>
    <w:rsid w:val="00AB38C0"/>
    <w:rsid w:val="00AB419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41D9"/>
    <w:rsid w:val="00B37935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4019"/>
    <w:rsid w:val="00B65AAC"/>
    <w:rsid w:val="00B660C6"/>
    <w:rsid w:val="00B6659A"/>
    <w:rsid w:val="00B66CCB"/>
    <w:rsid w:val="00B670AF"/>
    <w:rsid w:val="00B7199B"/>
    <w:rsid w:val="00B722B6"/>
    <w:rsid w:val="00B72431"/>
    <w:rsid w:val="00B740CA"/>
    <w:rsid w:val="00B7501A"/>
    <w:rsid w:val="00B7637F"/>
    <w:rsid w:val="00B81F86"/>
    <w:rsid w:val="00B82804"/>
    <w:rsid w:val="00B82EA2"/>
    <w:rsid w:val="00B83080"/>
    <w:rsid w:val="00B837A7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606B"/>
    <w:rsid w:val="00BD0395"/>
    <w:rsid w:val="00BD138E"/>
    <w:rsid w:val="00BD234C"/>
    <w:rsid w:val="00BD43EF"/>
    <w:rsid w:val="00BD64F3"/>
    <w:rsid w:val="00BD7364"/>
    <w:rsid w:val="00BD7CA1"/>
    <w:rsid w:val="00BD7F66"/>
    <w:rsid w:val="00BE0B0A"/>
    <w:rsid w:val="00BE14D4"/>
    <w:rsid w:val="00BE2C08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697"/>
    <w:rsid w:val="00C26AB7"/>
    <w:rsid w:val="00C32151"/>
    <w:rsid w:val="00C32200"/>
    <w:rsid w:val="00C3656A"/>
    <w:rsid w:val="00C37629"/>
    <w:rsid w:val="00C37719"/>
    <w:rsid w:val="00C404A9"/>
    <w:rsid w:val="00C41D15"/>
    <w:rsid w:val="00C45237"/>
    <w:rsid w:val="00C47EFF"/>
    <w:rsid w:val="00C518A9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82D"/>
    <w:rsid w:val="00C9064F"/>
    <w:rsid w:val="00C90897"/>
    <w:rsid w:val="00C90BEE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25D1"/>
    <w:rsid w:val="00CB6A0B"/>
    <w:rsid w:val="00CB75F1"/>
    <w:rsid w:val="00CC3BCF"/>
    <w:rsid w:val="00CC40C0"/>
    <w:rsid w:val="00CC69B0"/>
    <w:rsid w:val="00CD0E78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1BD2"/>
    <w:rsid w:val="00CF1F85"/>
    <w:rsid w:val="00CF4359"/>
    <w:rsid w:val="00CF5CF7"/>
    <w:rsid w:val="00CF5D4D"/>
    <w:rsid w:val="00CF7A9A"/>
    <w:rsid w:val="00D0192C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7126D"/>
    <w:rsid w:val="00D7775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629B"/>
    <w:rsid w:val="00DA04DA"/>
    <w:rsid w:val="00DA06CB"/>
    <w:rsid w:val="00DA089E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317"/>
    <w:rsid w:val="00E07474"/>
    <w:rsid w:val="00E0782D"/>
    <w:rsid w:val="00E07EA7"/>
    <w:rsid w:val="00E10695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2F4C"/>
    <w:rsid w:val="00E74430"/>
    <w:rsid w:val="00E748D3"/>
    <w:rsid w:val="00E74D41"/>
    <w:rsid w:val="00E776F8"/>
    <w:rsid w:val="00E80D68"/>
    <w:rsid w:val="00E81204"/>
    <w:rsid w:val="00E813F2"/>
    <w:rsid w:val="00E8156A"/>
    <w:rsid w:val="00E81892"/>
    <w:rsid w:val="00E826F9"/>
    <w:rsid w:val="00E82945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A5D4C"/>
    <w:rsid w:val="00EB4BF4"/>
    <w:rsid w:val="00EB4CD3"/>
    <w:rsid w:val="00EB6BFA"/>
    <w:rsid w:val="00EC0245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3092"/>
    <w:rsid w:val="00EE33AD"/>
    <w:rsid w:val="00EF0CC2"/>
    <w:rsid w:val="00EF0E4A"/>
    <w:rsid w:val="00EF1895"/>
    <w:rsid w:val="00EF47D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1F2"/>
    <w:rsid w:val="00F41762"/>
    <w:rsid w:val="00F43DB6"/>
    <w:rsid w:val="00F46590"/>
    <w:rsid w:val="00F52A5A"/>
    <w:rsid w:val="00F543D3"/>
    <w:rsid w:val="00F54DD6"/>
    <w:rsid w:val="00F55514"/>
    <w:rsid w:val="00F56C19"/>
    <w:rsid w:val="00F63922"/>
    <w:rsid w:val="00F66821"/>
    <w:rsid w:val="00F6787B"/>
    <w:rsid w:val="00F67EF6"/>
    <w:rsid w:val="00F70EE9"/>
    <w:rsid w:val="00F74AA5"/>
    <w:rsid w:val="00F758BC"/>
    <w:rsid w:val="00F80176"/>
    <w:rsid w:val="00F8028F"/>
    <w:rsid w:val="00F8138D"/>
    <w:rsid w:val="00F82876"/>
    <w:rsid w:val="00F85F59"/>
    <w:rsid w:val="00F86597"/>
    <w:rsid w:val="00F86EF4"/>
    <w:rsid w:val="00F91346"/>
    <w:rsid w:val="00F938A1"/>
    <w:rsid w:val="00F963E0"/>
    <w:rsid w:val="00F968B2"/>
    <w:rsid w:val="00FA053E"/>
    <w:rsid w:val="00FA0839"/>
    <w:rsid w:val="00FA41C1"/>
    <w:rsid w:val="00FA5DFA"/>
    <w:rsid w:val="00FA6C8A"/>
    <w:rsid w:val="00FB0B99"/>
    <w:rsid w:val="00FB23D1"/>
    <w:rsid w:val="00FB4B0F"/>
    <w:rsid w:val="00FB66CE"/>
    <w:rsid w:val="00FC0911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F73"/>
    <w:rsid w:val="00FD512D"/>
    <w:rsid w:val="00FE027E"/>
    <w:rsid w:val="00FE0484"/>
    <w:rsid w:val="00FE0669"/>
    <w:rsid w:val="00FE6416"/>
    <w:rsid w:val="00FE7D8B"/>
    <w:rsid w:val="00FF06D9"/>
    <w:rsid w:val="00FF0A09"/>
    <w:rsid w:val="00FF1E91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57A956-99E7-443C-B160-DDF95EBC2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F1519-C654-4767-BF9A-6F14E223B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832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6</cp:revision>
  <cp:lastPrinted>2022-01-28T14:23:00Z</cp:lastPrinted>
  <dcterms:created xsi:type="dcterms:W3CDTF">2022-01-28T11:53:00Z</dcterms:created>
  <dcterms:modified xsi:type="dcterms:W3CDTF">2022-01-28T15:52:00Z</dcterms:modified>
</cp:coreProperties>
</file>